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mithellemGitternetz"/>
        <w:tblW w:w="5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517"/>
        <w:gridCol w:w="2232"/>
        <w:gridCol w:w="411"/>
      </w:tblGrid>
      <w:tr w:rsidR="001B13FF" w14:paraId="58DE072F" w14:textId="77777777" w:rsidTr="00C11A5F">
        <w:trPr>
          <w:trHeight w:hRule="exact" w:val="858"/>
        </w:trPr>
        <w:tc>
          <w:tcPr>
            <w:tcW w:w="2479" w:type="dxa"/>
            <w:tcBorders>
              <w:bottom w:val="single" w:sz="18" w:space="0" w:color="FFFFFF" w:themeColor="background1"/>
              <w:right w:val="single" w:sz="18" w:space="0" w:color="FFFFFF" w:themeColor="background1"/>
            </w:tcBorders>
            <w:shd w:val="clear" w:color="auto" w:fill="auto"/>
            <w:vAlign w:val="center"/>
          </w:tcPr>
          <w:p w14:paraId="4D5CC3CC" w14:textId="77777777" w:rsidR="00472FAB" w:rsidRDefault="00472FAB" w:rsidP="00376135">
            <w:pPr>
              <w:jc w:val="both"/>
              <w:rPr>
                <w:noProof/>
                <w:lang w:eastAsia="de-DE"/>
              </w:rPr>
            </w:pPr>
            <w:r>
              <w:rPr>
                <w:noProof/>
                <w:lang w:eastAsia="de-DE"/>
              </w:rPr>
              <w:drawing>
                <wp:anchor distT="0" distB="0" distL="114300" distR="114300" simplePos="0" relativeHeight="251663360" behindDoc="1" locked="0" layoutInCell="1" allowOverlap="1" wp14:anchorId="24279224" wp14:editId="1D1E3C55">
                  <wp:simplePos x="0" y="0"/>
                  <wp:positionH relativeFrom="column">
                    <wp:posOffset>-32385</wp:posOffset>
                  </wp:positionH>
                  <wp:positionV relativeFrom="page">
                    <wp:posOffset>0</wp:posOffset>
                  </wp:positionV>
                  <wp:extent cx="1578610" cy="82677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contrast="-20000"/>
                                    </a14:imgEffect>
                                  </a14:imgLayer>
                                </a14:imgProps>
                              </a:ext>
                              <a:ext uri="{28A0092B-C50C-407E-A947-70E740481C1C}">
                                <a14:useLocalDpi xmlns:a14="http://schemas.microsoft.com/office/drawing/2010/main" val="0"/>
                              </a:ext>
                            </a:extLst>
                          </a:blip>
                          <a:srcRect l="363" t="20012" r="363" b="7986"/>
                          <a:stretch/>
                        </pic:blipFill>
                        <pic:spPr bwMode="auto">
                          <a:xfrm>
                            <a:off x="0" y="0"/>
                            <a:ext cx="1578610" cy="826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99" w:type="dxa"/>
            <w:tcBorders>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AD0365B" w14:textId="77777777" w:rsidR="00472FAB" w:rsidRPr="00303973" w:rsidRDefault="001B13FF" w:rsidP="00376135">
            <w:pPr>
              <w:jc w:val="both"/>
              <w:rPr>
                <w:rFonts w:ascii="Arial" w:hAnsi="Arial" w:cs="Arial"/>
                <w:b/>
                <w:bCs/>
                <w:color w:val="FFFFFF" w:themeColor="background1"/>
                <w:sz w:val="24"/>
                <w:szCs w:val="24"/>
              </w:rPr>
            </w:pPr>
            <w:r w:rsidRPr="001B13FF">
              <w:rPr>
                <w:rFonts w:ascii="Arial" w:hAnsi="Arial" w:cs="Arial"/>
                <w:b/>
                <w:bCs/>
                <w:noProof/>
                <w:color w:val="FFFFFF" w:themeColor="background1"/>
                <w:sz w:val="24"/>
                <w:szCs w:val="24"/>
                <w:lang w:eastAsia="de-DE"/>
              </w:rPr>
              <w:drawing>
                <wp:anchor distT="0" distB="0" distL="114300" distR="114300" simplePos="0" relativeHeight="251664384" behindDoc="1" locked="0" layoutInCell="1" allowOverlap="1" wp14:anchorId="2BFD46C5" wp14:editId="2E90CEC1">
                  <wp:simplePos x="0" y="0"/>
                  <wp:positionH relativeFrom="column">
                    <wp:posOffset>-52705</wp:posOffset>
                  </wp:positionH>
                  <wp:positionV relativeFrom="paragraph">
                    <wp:posOffset>3810</wp:posOffset>
                  </wp:positionV>
                  <wp:extent cx="1597025" cy="878205"/>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t="3675"/>
                          <a:stretch/>
                        </pic:blipFill>
                        <pic:spPr bwMode="auto">
                          <a:xfrm>
                            <a:off x="0" y="0"/>
                            <a:ext cx="1597025" cy="878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05" w:type="dxa"/>
            <w:tcBorders>
              <w:left w:val="single" w:sz="18" w:space="0" w:color="FFFFFF" w:themeColor="background1"/>
              <w:bottom w:val="single" w:sz="18" w:space="0" w:color="FFFFFF" w:themeColor="background1"/>
            </w:tcBorders>
            <w:shd w:val="clear" w:color="auto" w:fill="009CE1"/>
          </w:tcPr>
          <w:p w14:paraId="20C24BAE" w14:textId="77777777" w:rsidR="00472FAB" w:rsidRDefault="00472FAB" w:rsidP="00376135">
            <w:pPr>
              <w:jc w:val="both"/>
            </w:pPr>
          </w:p>
        </w:tc>
      </w:tr>
      <w:tr w:rsidR="001B13FF" w14:paraId="147196C5" w14:textId="77777777" w:rsidTr="00C11A5F">
        <w:trPr>
          <w:trHeight w:hRule="exact" w:val="1128"/>
        </w:trPr>
        <w:tc>
          <w:tcPr>
            <w:tcW w:w="2479" w:type="dxa"/>
            <w:tcBorders>
              <w:bottom w:val="single" w:sz="18" w:space="0" w:color="FFFFFF" w:themeColor="background1"/>
              <w:right w:val="single" w:sz="18" w:space="0" w:color="FFFFFF" w:themeColor="background1"/>
            </w:tcBorders>
            <w:shd w:val="clear" w:color="auto" w:fill="009CE1"/>
            <w:vAlign w:val="center"/>
          </w:tcPr>
          <w:p w14:paraId="58C68006" w14:textId="77777777" w:rsidR="00303973" w:rsidRDefault="009E440F" w:rsidP="00376135">
            <w:pPr>
              <w:jc w:val="both"/>
            </w:pPr>
            <w:r>
              <w:rPr>
                <w:noProof/>
                <w:lang w:eastAsia="de-DE"/>
              </w:rPr>
              <w:drawing>
                <wp:inline distT="0" distB="0" distL="0" distR="0" wp14:anchorId="04589E21" wp14:editId="56B70D90">
                  <wp:extent cx="1036800" cy="615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dt Mosbach weiss pfade.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800" cy="615600"/>
                          </a:xfrm>
                          <a:prstGeom prst="rect">
                            <a:avLst/>
                          </a:prstGeom>
                        </pic:spPr>
                      </pic:pic>
                    </a:graphicData>
                  </a:graphic>
                </wp:inline>
              </w:drawing>
            </w:r>
          </w:p>
        </w:tc>
        <w:tc>
          <w:tcPr>
            <w:tcW w:w="2199" w:type="dxa"/>
            <w:tcBorders>
              <w:left w:val="single" w:sz="18" w:space="0" w:color="FFFFFF" w:themeColor="background1"/>
              <w:bottom w:val="single" w:sz="18" w:space="0" w:color="FFFFFF" w:themeColor="background1"/>
              <w:right w:val="single" w:sz="18" w:space="0" w:color="FFFFFF" w:themeColor="background1"/>
            </w:tcBorders>
            <w:shd w:val="clear" w:color="auto" w:fill="009CE1"/>
            <w:vAlign w:val="center"/>
          </w:tcPr>
          <w:p w14:paraId="522A39E0" w14:textId="77777777" w:rsidR="00303973" w:rsidRPr="00303973" w:rsidRDefault="00303973" w:rsidP="00376135">
            <w:pPr>
              <w:jc w:val="right"/>
              <w:rPr>
                <w:rFonts w:ascii="Arial" w:hAnsi="Arial" w:cs="Arial"/>
                <w:b/>
                <w:bCs/>
                <w:color w:val="FFFFFF" w:themeColor="background1"/>
                <w:sz w:val="24"/>
                <w:szCs w:val="24"/>
              </w:rPr>
            </w:pPr>
            <w:r w:rsidRPr="00303973">
              <w:rPr>
                <w:rFonts w:ascii="Arial" w:hAnsi="Arial" w:cs="Arial"/>
                <w:b/>
                <w:bCs/>
                <w:color w:val="FFFFFF" w:themeColor="background1"/>
                <w:sz w:val="24"/>
                <w:szCs w:val="24"/>
              </w:rPr>
              <w:t>Fachwerk</w:t>
            </w:r>
            <w:r w:rsidRPr="00303973">
              <w:rPr>
                <w:rFonts w:ascii="Arial" w:hAnsi="Arial" w:cs="Arial"/>
                <w:b/>
                <w:bCs/>
                <w:color w:val="FFFFFF" w:themeColor="background1"/>
                <w:sz w:val="24"/>
                <w:szCs w:val="24"/>
              </w:rPr>
              <w:br/>
              <w:t>sucht</w:t>
            </w:r>
            <w:r w:rsidRPr="00303973">
              <w:rPr>
                <w:rFonts w:ascii="Arial" w:hAnsi="Arial" w:cs="Arial"/>
                <w:b/>
                <w:bCs/>
                <w:color w:val="FFFFFF" w:themeColor="background1"/>
                <w:sz w:val="24"/>
                <w:szCs w:val="24"/>
              </w:rPr>
              <w:br/>
              <w:t>Fachkraft</w:t>
            </w:r>
          </w:p>
        </w:tc>
        <w:tc>
          <w:tcPr>
            <w:tcW w:w="405" w:type="dxa"/>
            <w:tcBorders>
              <w:left w:val="single" w:sz="18" w:space="0" w:color="FFFFFF" w:themeColor="background1"/>
              <w:bottom w:val="single" w:sz="18" w:space="0" w:color="FFFFFF" w:themeColor="background1"/>
            </w:tcBorders>
            <w:shd w:val="clear" w:color="auto" w:fill="009CE1"/>
          </w:tcPr>
          <w:p w14:paraId="38FB1C18" w14:textId="77777777" w:rsidR="00303973" w:rsidRDefault="00303973" w:rsidP="00376135">
            <w:pPr>
              <w:jc w:val="both"/>
            </w:pPr>
          </w:p>
        </w:tc>
      </w:tr>
      <w:tr w:rsidR="001B13FF" w14:paraId="032E39C8" w14:textId="77777777" w:rsidTr="00C11A5F">
        <w:trPr>
          <w:trHeight w:val="18"/>
        </w:trPr>
        <w:tc>
          <w:tcPr>
            <w:tcW w:w="4678" w:type="dxa"/>
            <w:gridSpan w:val="2"/>
            <w:tcBorders>
              <w:top w:val="single" w:sz="18" w:space="0" w:color="FFFFFF" w:themeColor="background1"/>
              <w:right w:val="single" w:sz="18" w:space="0" w:color="FFFFFF" w:themeColor="background1"/>
            </w:tcBorders>
          </w:tcPr>
          <w:p w14:paraId="64B1B312" w14:textId="77777777" w:rsidR="00A741B0" w:rsidRPr="00A741B0" w:rsidRDefault="00A741B0" w:rsidP="00376135">
            <w:pPr>
              <w:jc w:val="both"/>
              <w:rPr>
                <w:rFonts w:ascii="Arial" w:hAnsi="Arial" w:cs="Arial"/>
                <w:sz w:val="16"/>
                <w:szCs w:val="16"/>
              </w:rPr>
            </w:pPr>
            <w:r w:rsidRPr="00A741B0">
              <w:rPr>
                <w:rFonts w:ascii="Arial" w:hAnsi="Arial" w:cs="Arial"/>
                <w:color w:val="000000"/>
                <w:sz w:val="16"/>
                <w:szCs w:val="16"/>
                <w:shd w:val="clear" w:color="auto" w:fill="FFFFFF"/>
              </w:rPr>
              <w:t>Die Große Kreisstadt Mosbach mit über 23.000 Einwohnern stellt einen attraktiven Wirtschafts- und Handelsstandort dar und übernimmt a</w:t>
            </w:r>
            <w:r w:rsidRPr="00A741B0">
              <w:rPr>
                <w:rFonts w:ascii="Arial" w:hAnsi="Arial" w:cs="Arial"/>
                <w:color w:val="000000"/>
                <w:sz w:val="16"/>
                <w:szCs w:val="16"/>
              </w:rPr>
              <w:t>ls Mittelzentrum Versorgungs- und Einkaufsfunktionen für über 100.000 Menschen.</w:t>
            </w:r>
            <w:r w:rsidRPr="00A741B0">
              <w:rPr>
                <w:rFonts w:ascii="Arial" w:hAnsi="Arial" w:cs="Arial"/>
                <w:sz w:val="16"/>
                <w:szCs w:val="16"/>
              </w:rPr>
              <w:t xml:space="preserve"> Mosbach liegt landschaftlich reizvoll im ländlich geprägten Raum Nordbadens zwischen den Ballungsräumen Heidelberg/Mannheim und Heilbronn/Stuttgart.</w:t>
            </w:r>
          </w:p>
          <w:p w14:paraId="102F9987" w14:textId="77777777" w:rsidR="00A741B0" w:rsidRPr="00A741B0" w:rsidRDefault="00A741B0" w:rsidP="00376135">
            <w:pPr>
              <w:jc w:val="both"/>
              <w:rPr>
                <w:rFonts w:ascii="Arial" w:hAnsi="Arial" w:cs="Arial"/>
                <w:sz w:val="16"/>
                <w:szCs w:val="16"/>
              </w:rPr>
            </w:pPr>
          </w:p>
          <w:p w14:paraId="0D21774F" w14:textId="10643424" w:rsidR="00A741B0" w:rsidRPr="00A741B0" w:rsidRDefault="00A741B0" w:rsidP="00376135">
            <w:pPr>
              <w:jc w:val="both"/>
              <w:rPr>
                <w:rFonts w:ascii="Arial" w:hAnsi="Arial" w:cs="Arial"/>
                <w:sz w:val="16"/>
                <w:szCs w:val="16"/>
              </w:rPr>
            </w:pPr>
            <w:r w:rsidRPr="00A741B0">
              <w:rPr>
                <w:rFonts w:ascii="Arial" w:hAnsi="Arial" w:cs="Arial"/>
                <w:sz w:val="16"/>
                <w:szCs w:val="16"/>
              </w:rPr>
              <w:t>Für die „Kultur- und Tagungszentrum Alte Mälzerei Mosbach GmbH &amp; Co. KG“ mit den Geschäftsbereichen „Kultur und T</w:t>
            </w:r>
            <w:r w:rsidR="00376135">
              <w:rPr>
                <w:rFonts w:ascii="Arial" w:hAnsi="Arial" w:cs="Arial"/>
                <w:sz w:val="16"/>
                <w:szCs w:val="16"/>
              </w:rPr>
              <w:t>a</w:t>
            </w:r>
            <w:r w:rsidRPr="00A741B0">
              <w:rPr>
                <w:rFonts w:ascii="Arial" w:hAnsi="Arial" w:cs="Arial"/>
                <w:sz w:val="16"/>
                <w:szCs w:val="16"/>
              </w:rPr>
              <w:t>gung“ und „Gastronomie“ suchen wir ab 01.01.2021 eine</w:t>
            </w:r>
          </w:p>
          <w:p w14:paraId="57EACC11" w14:textId="77777777" w:rsidR="00A741B0" w:rsidRPr="00376135" w:rsidRDefault="00A741B0" w:rsidP="00376135">
            <w:pPr>
              <w:jc w:val="both"/>
              <w:rPr>
                <w:rFonts w:ascii="Arial" w:hAnsi="Arial" w:cs="Arial"/>
                <w:b/>
                <w:bCs/>
                <w:sz w:val="14"/>
                <w:szCs w:val="14"/>
              </w:rPr>
            </w:pPr>
          </w:p>
          <w:p w14:paraId="65A3951F" w14:textId="77777777" w:rsidR="00A741B0" w:rsidRPr="00BD716D" w:rsidRDefault="00A741B0" w:rsidP="00BD716D">
            <w:pPr>
              <w:jc w:val="center"/>
              <w:rPr>
                <w:rFonts w:ascii="Arial" w:hAnsi="Arial" w:cs="Arial"/>
                <w:b/>
                <w:bCs/>
                <w:sz w:val="32"/>
                <w:szCs w:val="32"/>
              </w:rPr>
            </w:pPr>
            <w:r w:rsidRPr="00BD716D">
              <w:rPr>
                <w:rFonts w:ascii="Arial" w:hAnsi="Arial" w:cs="Arial"/>
                <w:b/>
                <w:bCs/>
                <w:sz w:val="32"/>
                <w:szCs w:val="32"/>
              </w:rPr>
              <w:t xml:space="preserve">Geschäftsführung </w:t>
            </w:r>
            <w:r w:rsidRPr="00BD716D">
              <w:rPr>
                <w:rFonts w:ascii="Arial" w:hAnsi="Arial" w:cs="Arial"/>
                <w:b/>
                <w:bCs/>
                <w:sz w:val="12"/>
                <w:szCs w:val="12"/>
              </w:rPr>
              <w:t>(m/w/d)</w:t>
            </w:r>
          </w:p>
          <w:p w14:paraId="4F9CA425" w14:textId="77777777" w:rsidR="00A741B0" w:rsidRPr="00376135" w:rsidRDefault="00A741B0" w:rsidP="00376135">
            <w:pPr>
              <w:jc w:val="both"/>
              <w:rPr>
                <w:rFonts w:ascii="Arial" w:hAnsi="Arial" w:cs="Arial"/>
                <w:sz w:val="14"/>
                <w:szCs w:val="14"/>
              </w:rPr>
            </w:pPr>
          </w:p>
          <w:p w14:paraId="47521022" w14:textId="77777777" w:rsidR="00A741B0" w:rsidRPr="00A741B0" w:rsidRDefault="00A741B0" w:rsidP="00376135">
            <w:pPr>
              <w:jc w:val="both"/>
              <w:rPr>
                <w:rFonts w:ascii="Arial" w:hAnsi="Arial" w:cs="Arial"/>
                <w:sz w:val="16"/>
                <w:szCs w:val="16"/>
              </w:rPr>
            </w:pPr>
            <w:r w:rsidRPr="00A741B0">
              <w:rPr>
                <w:rFonts w:ascii="Arial" w:hAnsi="Arial" w:cs="Arial"/>
                <w:sz w:val="16"/>
                <w:szCs w:val="16"/>
              </w:rPr>
              <w:t>Bereits seit 1997 wird die Alte Mälzerei als Kultur- und Tagungszentrum der Großen Kreisstadt Mosbach zur Förderung und Unterstützung kultureller, künstlerischer, geselliger, gesellschaftlicher und sozialer Aufgaben durch die Durchführung von Kultur-, Tagungs- und sonstigen Veranstaltungen jeder Art betrieben. Im vergangenen Geschäftsjahr besuchten mehr als 63.000 Personen rund 750 Veranstaltungen der Bereiche Kultur, Tagung, Kongress, Ausstellung und sonstige gesellschaftliche Events. Zusätzlich bewirtet unsere Gastronomie zahlreiche Gäste im Restaurant mit 170 Sitzplätzen und weiteren im Biergarten. Mit unserem seit 2018 in Eigenregie geführten Restaurant meistern wir neben abwechslungsreichem Tagesessen und A-la-Carte-Bewirtung auch das Catering von Events mit bis zu 500 Personen.</w:t>
            </w:r>
          </w:p>
          <w:p w14:paraId="3241C963" w14:textId="77777777" w:rsidR="00A741B0" w:rsidRPr="00A741B0" w:rsidRDefault="00A741B0" w:rsidP="00376135">
            <w:pPr>
              <w:jc w:val="both"/>
              <w:rPr>
                <w:rFonts w:ascii="Arial" w:hAnsi="Arial" w:cs="Arial"/>
                <w:sz w:val="16"/>
                <w:szCs w:val="16"/>
              </w:rPr>
            </w:pPr>
          </w:p>
          <w:p w14:paraId="20D7970F" w14:textId="77777777" w:rsidR="00A741B0" w:rsidRPr="00A741B0" w:rsidRDefault="00A741B0" w:rsidP="00376135">
            <w:pPr>
              <w:jc w:val="both"/>
              <w:rPr>
                <w:rFonts w:ascii="Arial" w:hAnsi="Arial" w:cs="Arial"/>
                <w:sz w:val="16"/>
                <w:szCs w:val="16"/>
              </w:rPr>
            </w:pPr>
            <w:r w:rsidRPr="00A741B0">
              <w:rPr>
                <w:rFonts w:ascii="Arial" w:hAnsi="Arial" w:cs="Arial"/>
                <w:b/>
                <w:sz w:val="16"/>
                <w:szCs w:val="16"/>
              </w:rPr>
              <w:t>Unser Angebot</w:t>
            </w:r>
            <w:r w:rsidRPr="00A741B0">
              <w:rPr>
                <w:rFonts w:ascii="Arial" w:hAnsi="Arial" w:cs="Arial"/>
                <w:sz w:val="16"/>
                <w:szCs w:val="16"/>
              </w:rPr>
              <w:t>:</w:t>
            </w:r>
          </w:p>
          <w:p w14:paraId="09CAE7DB" w14:textId="77777777" w:rsidR="00A741B0" w:rsidRPr="00810478" w:rsidRDefault="00A741B0" w:rsidP="00376135">
            <w:pPr>
              <w:pStyle w:val="Listenabsatz"/>
              <w:numPr>
                <w:ilvl w:val="0"/>
                <w:numId w:val="4"/>
              </w:numPr>
              <w:ind w:left="187" w:hanging="208"/>
              <w:jc w:val="both"/>
              <w:rPr>
                <w:rFonts w:ascii="Arial" w:eastAsia="Arial" w:hAnsi="Arial" w:cs="Arial"/>
                <w:sz w:val="16"/>
                <w:szCs w:val="16"/>
              </w:rPr>
            </w:pPr>
            <w:r w:rsidRPr="00810478">
              <w:rPr>
                <w:rFonts w:ascii="Arial" w:eastAsia="Arial" w:hAnsi="Arial" w:cs="Arial"/>
                <w:sz w:val="16"/>
                <w:szCs w:val="16"/>
              </w:rPr>
              <w:t>ein unbefristetes Arbeitsverhältnis</w:t>
            </w:r>
          </w:p>
          <w:p w14:paraId="482D6206" w14:textId="77777777" w:rsidR="00A741B0" w:rsidRPr="00810478" w:rsidRDefault="00A741B0" w:rsidP="00376135">
            <w:pPr>
              <w:pStyle w:val="Listenabsatz"/>
              <w:numPr>
                <w:ilvl w:val="0"/>
                <w:numId w:val="4"/>
              </w:numPr>
              <w:ind w:left="187" w:hanging="208"/>
              <w:jc w:val="both"/>
              <w:rPr>
                <w:rFonts w:ascii="Arial" w:eastAsia="Arial" w:hAnsi="Arial" w:cs="Arial"/>
                <w:sz w:val="16"/>
                <w:szCs w:val="16"/>
              </w:rPr>
            </w:pPr>
            <w:r w:rsidRPr="00810478">
              <w:rPr>
                <w:rFonts w:ascii="Arial" w:eastAsia="Arial" w:hAnsi="Arial" w:cs="Arial"/>
                <w:sz w:val="16"/>
                <w:szCs w:val="16"/>
              </w:rPr>
              <w:t>eine leistungsgerechte Vergütung nach dem Tarifvertrag für den öffentlichen Dienst (TVöD), bei Vorliegen der Voraussetzungen Bezahlung bis EG 14 möglich</w:t>
            </w:r>
          </w:p>
          <w:p w14:paraId="10165321" w14:textId="77777777" w:rsidR="00A741B0" w:rsidRPr="00810478" w:rsidRDefault="00A741B0" w:rsidP="00376135">
            <w:pPr>
              <w:pStyle w:val="Listenabsatz"/>
              <w:numPr>
                <w:ilvl w:val="0"/>
                <w:numId w:val="4"/>
              </w:numPr>
              <w:ind w:left="187" w:hanging="208"/>
              <w:jc w:val="both"/>
              <w:rPr>
                <w:rFonts w:ascii="Arial" w:eastAsia="Arial" w:hAnsi="Arial" w:cs="Arial"/>
                <w:sz w:val="16"/>
                <w:szCs w:val="16"/>
              </w:rPr>
            </w:pPr>
            <w:r w:rsidRPr="00810478">
              <w:rPr>
                <w:rFonts w:ascii="Arial" w:eastAsia="Arial" w:hAnsi="Arial" w:cs="Arial"/>
                <w:sz w:val="16"/>
                <w:szCs w:val="16"/>
              </w:rPr>
              <w:t>Jobticket, familienfreundliche Arbeitszeitregelungen, freiwillige Zuschüsse zur betrieblichen Altersversorgung sowie zu Maßnahmen der Gesundheitsprävention</w:t>
            </w:r>
          </w:p>
          <w:p w14:paraId="437FCF63" w14:textId="77777777" w:rsidR="00A741B0" w:rsidRPr="00810478" w:rsidRDefault="00A741B0" w:rsidP="00376135">
            <w:pPr>
              <w:pStyle w:val="Listenabsatz"/>
              <w:numPr>
                <w:ilvl w:val="0"/>
                <w:numId w:val="4"/>
              </w:numPr>
              <w:ind w:left="187" w:hanging="208"/>
              <w:jc w:val="both"/>
              <w:rPr>
                <w:rFonts w:ascii="Arial" w:hAnsi="Arial" w:cs="Arial"/>
                <w:sz w:val="16"/>
                <w:szCs w:val="16"/>
              </w:rPr>
            </w:pPr>
            <w:r w:rsidRPr="00810478">
              <w:rPr>
                <w:rFonts w:ascii="Arial" w:hAnsi="Arial" w:cs="Arial"/>
                <w:sz w:val="16"/>
                <w:szCs w:val="16"/>
              </w:rPr>
              <w:t>alternativ Anstellung bei der geschäftsführenden Gesellsc</w:t>
            </w:r>
            <w:r w:rsidR="00810478">
              <w:rPr>
                <w:rFonts w:ascii="Arial" w:hAnsi="Arial" w:cs="Arial"/>
                <w:sz w:val="16"/>
                <w:szCs w:val="16"/>
              </w:rPr>
              <w:t>haft „Alte Mälzerei Verwaltungs-</w:t>
            </w:r>
            <w:r w:rsidRPr="00810478">
              <w:rPr>
                <w:rFonts w:ascii="Arial" w:hAnsi="Arial" w:cs="Arial"/>
                <w:sz w:val="16"/>
                <w:szCs w:val="16"/>
              </w:rPr>
              <w:t>GmbH“ denkbar</w:t>
            </w:r>
          </w:p>
          <w:p w14:paraId="1943DDDC" w14:textId="77777777" w:rsidR="00A741B0" w:rsidRPr="00A741B0" w:rsidRDefault="00A741B0" w:rsidP="00376135">
            <w:pPr>
              <w:jc w:val="both"/>
              <w:rPr>
                <w:rFonts w:ascii="Arial" w:hAnsi="Arial" w:cs="Arial"/>
                <w:sz w:val="16"/>
                <w:szCs w:val="16"/>
              </w:rPr>
            </w:pPr>
          </w:p>
          <w:p w14:paraId="5BA3130B" w14:textId="77777777" w:rsidR="00A741B0" w:rsidRPr="00A741B0" w:rsidRDefault="00A741B0" w:rsidP="00376135">
            <w:pPr>
              <w:jc w:val="both"/>
              <w:rPr>
                <w:rFonts w:ascii="Arial" w:hAnsi="Arial" w:cs="Arial"/>
                <w:b/>
                <w:sz w:val="16"/>
                <w:szCs w:val="16"/>
              </w:rPr>
            </w:pPr>
            <w:r w:rsidRPr="00A741B0">
              <w:rPr>
                <w:rFonts w:ascii="Arial" w:hAnsi="Arial" w:cs="Arial"/>
                <w:b/>
                <w:sz w:val="16"/>
                <w:szCs w:val="16"/>
              </w:rPr>
              <w:t>Ihre Aufgaben:</w:t>
            </w:r>
          </w:p>
          <w:p w14:paraId="1BCEEC3E" w14:textId="104EB89E" w:rsidR="00A741B0" w:rsidRPr="00A741B0" w:rsidRDefault="00A741B0" w:rsidP="00376135">
            <w:pPr>
              <w:jc w:val="both"/>
              <w:rPr>
                <w:rFonts w:ascii="Arial" w:hAnsi="Arial" w:cs="Arial"/>
                <w:sz w:val="16"/>
                <w:szCs w:val="16"/>
              </w:rPr>
            </w:pPr>
            <w:r w:rsidRPr="00A741B0">
              <w:rPr>
                <w:rFonts w:ascii="Arial" w:hAnsi="Arial" w:cs="Arial"/>
                <w:sz w:val="16"/>
                <w:szCs w:val="16"/>
              </w:rPr>
              <w:t xml:space="preserve">Sie repräsentieren unser Haus mit seinem kulturellen und gastronomischen Angebot sowie großer Bedeutung für die Lebensqualität und Identifikation der Einwohner mit der Stadt. Daneben liegt der Schwerpunkt Ihrer Tätigkeit in der betriebswirtschaftlich ausgerichteten Leitung der Gesellschaft mit allen Betriebszweigen nach Vorgaben gemäß Gesellschaftsverträgen und in Abstimmung mit den jeweiligen Entscheidungsträgern. </w:t>
            </w:r>
          </w:p>
          <w:p w14:paraId="6C49D485" w14:textId="77777777" w:rsidR="00A741B0" w:rsidRPr="00A741B0" w:rsidRDefault="00A741B0" w:rsidP="003761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right="850"/>
              <w:jc w:val="both"/>
              <w:rPr>
                <w:rFonts w:ascii="Arial" w:hAnsi="Arial" w:cs="Arial"/>
                <w:sz w:val="16"/>
                <w:szCs w:val="16"/>
              </w:rPr>
            </w:pPr>
          </w:p>
          <w:p w14:paraId="676AF5E3" w14:textId="77777777" w:rsidR="00A741B0" w:rsidRPr="00A741B0" w:rsidRDefault="00A741B0" w:rsidP="00376135">
            <w:pPr>
              <w:jc w:val="both"/>
              <w:rPr>
                <w:rFonts w:ascii="Arial" w:hAnsi="Arial" w:cs="Arial"/>
                <w:b/>
                <w:sz w:val="16"/>
                <w:szCs w:val="16"/>
              </w:rPr>
            </w:pPr>
            <w:r w:rsidRPr="00A741B0">
              <w:rPr>
                <w:rFonts w:ascii="Arial" w:hAnsi="Arial" w:cs="Arial"/>
                <w:b/>
                <w:sz w:val="16"/>
                <w:szCs w:val="16"/>
              </w:rPr>
              <w:t xml:space="preserve">Ihre Qualifikation: </w:t>
            </w:r>
          </w:p>
          <w:p w14:paraId="0D68042C" w14:textId="45B1A11F" w:rsidR="00A741B0" w:rsidRPr="00A741B0" w:rsidRDefault="00A741B0" w:rsidP="00376135">
            <w:pPr>
              <w:jc w:val="both"/>
              <w:rPr>
                <w:rFonts w:ascii="Arial" w:hAnsi="Arial" w:cs="Arial"/>
                <w:sz w:val="16"/>
                <w:szCs w:val="16"/>
              </w:rPr>
            </w:pPr>
            <w:r w:rsidRPr="00A741B0">
              <w:rPr>
                <w:rFonts w:ascii="Arial" w:hAnsi="Arial" w:cs="Arial"/>
                <w:sz w:val="16"/>
                <w:szCs w:val="16"/>
              </w:rPr>
              <w:t>Sie verfügen über ein abgeschlossenes betriebswirtschaftliches Studium im Bereich Hotel-/Gaststätten-/Eventmanagement oder eine vergleichbare abgeschlossene Berufsausbildung sowie entsprechende Berufserfahrung und betriebswirtschaftliche Kenntnisse.</w:t>
            </w:r>
            <w:r w:rsidR="00810478">
              <w:rPr>
                <w:rFonts w:ascii="Arial" w:hAnsi="Arial" w:cs="Arial"/>
                <w:sz w:val="16"/>
                <w:szCs w:val="16"/>
              </w:rPr>
              <w:t xml:space="preserve"> </w:t>
            </w:r>
            <w:r w:rsidRPr="00A741B0">
              <w:rPr>
                <w:rFonts w:ascii="Arial" w:hAnsi="Arial" w:cs="Arial"/>
                <w:sz w:val="16"/>
                <w:szCs w:val="16"/>
              </w:rPr>
              <w:t>Die Bereitschaft zur flexiblen Gestaltung der Arbeitszeit u.</w:t>
            </w:r>
            <w:r w:rsidR="00376135">
              <w:rPr>
                <w:rFonts w:ascii="Arial" w:hAnsi="Arial" w:cs="Arial"/>
                <w:sz w:val="16"/>
                <w:szCs w:val="16"/>
              </w:rPr>
              <w:t> </w:t>
            </w:r>
            <w:r w:rsidRPr="00A741B0">
              <w:rPr>
                <w:rFonts w:ascii="Arial" w:hAnsi="Arial" w:cs="Arial"/>
                <w:sz w:val="16"/>
                <w:szCs w:val="16"/>
              </w:rPr>
              <w:t>a. an Feiertagen, am Wochenende und abends/nachts wird vorausgesetzt.</w:t>
            </w:r>
          </w:p>
          <w:p w14:paraId="6A74C561" w14:textId="77777777" w:rsidR="00A741B0" w:rsidRPr="00A741B0" w:rsidRDefault="00A741B0" w:rsidP="00376135">
            <w:pPr>
              <w:jc w:val="both"/>
              <w:rPr>
                <w:rFonts w:ascii="Arial" w:hAnsi="Arial" w:cs="Arial"/>
                <w:sz w:val="16"/>
                <w:szCs w:val="16"/>
              </w:rPr>
            </w:pPr>
          </w:p>
          <w:p w14:paraId="1CC4F953" w14:textId="77777777" w:rsidR="00A741B0" w:rsidRPr="00A741B0" w:rsidRDefault="00A741B0" w:rsidP="00376135">
            <w:pPr>
              <w:jc w:val="both"/>
              <w:rPr>
                <w:rFonts w:ascii="Arial" w:eastAsia="Times New Roman" w:hAnsi="Arial" w:cs="Times New Roman"/>
                <w:sz w:val="16"/>
                <w:szCs w:val="16"/>
                <w:lang w:eastAsia="de-DE"/>
              </w:rPr>
            </w:pPr>
            <w:r w:rsidRPr="00A741B0">
              <w:rPr>
                <w:rFonts w:ascii="Arial" w:eastAsia="Times New Roman" w:hAnsi="Arial" w:cs="Times New Roman"/>
                <w:sz w:val="16"/>
                <w:szCs w:val="16"/>
                <w:lang w:eastAsia="de-DE"/>
              </w:rPr>
              <w:t xml:space="preserve">Für weitere Informationen steht Ihnen Oberbürgermeister Michael Jann unter Telefon 06261/ 82-200 gerne zur Verfügung. </w:t>
            </w:r>
          </w:p>
          <w:p w14:paraId="4B9DABE2" w14:textId="77777777" w:rsidR="00A741B0" w:rsidRPr="00A741B0" w:rsidRDefault="00A741B0" w:rsidP="00376135">
            <w:pPr>
              <w:jc w:val="both"/>
              <w:rPr>
                <w:rFonts w:ascii="Arial" w:hAnsi="Arial" w:cs="Arial"/>
                <w:sz w:val="16"/>
                <w:szCs w:val="16"/>
              </w:rPr>
            </w:pPr>
          </w:p>
          <w:p w14:paraId="7AD7E8EC" w14:textId="77777777" w:rsidR="00A741B0" w:rsidRPr="00A741B0" w:rsidRDefault="00A741B0" w:rsidP="00376135">
            <w:pPr>
              <w:jc w:val="both"/>
              <w:rPr>
                <w:rFonts w:ascii="Arial" w:hAnsi="Arial" w:cs="Arial"/>
                <w:sz w:val="16"/>
                <w:szCs w:val="16"/>
              </w:rPr>
            </w:pPr>
            <w:r w:rsidRPr="00A741B0">
              <w:rPr>
                <w:rFonts w:ascii="Arial" w:hAnsi="Arial" w:cs="Arial"/>
                <w:sz w:val="16"/>
                <w:szCs w:val="16"/>
              </w:rPr>
              <w:t xml:space="preserve">Wenn wir Ihr Interesse geweckt haben, freuen wir uns auf Ihre Bewerbung über unser Online-Portal unter </w:t>
            </w:r>
            <w:r w:rsidR="00810478">
              <w:rPr>
                <w:rFonts w:ascii="Arial" w:hAnsi="Arial" w:cs="Arial"/>
                <w:sz w:val="16"/>
                <w:szCs w:val="16"/>
              </w:rPr>
              <w:t>w</w:t>
            </w:r>
            <w:r w:rsidRPr="00810478">
              <w:rPr>
                <w:rFonts w:ascii="Arial" w:hAnsi="Arial" w:cs="Arial"/>
                <w:sz w:val="16"/>
                <w:szCs w:val="16"/>
              </w:rPr>
              <w:t>ww.mosbach.de/Stellenangebote.html</w:t>
            </w:r>
            <w:r w:rsidRPr="00A741B0">
              <w:rPr>
                <w:rFonts w:ascii="Arial" w:hAnsi="Arial" w:cs="Arial"/>
                <w:sz w:val="16"/>
                <w:szCs w:val="16"/>
              </w:rPr>
              <w:t xml:space="preserve">. </w:t>
            </w:r>
          </w:p>
          <w:p w14:paraId="480F8E2F" w14:textId="77777777" w:rsidR="00A741B0" w:rsidRPr="00A741B0" w:rsidRDefault="00A741B0" w:rsidP="00376135">
            <w:pPr>
              <w:jc w:val="both"/>
              <w:rPr>
                <w:rFonts w:ascii="Arial" w:hAnsi="Arial" w:cs="Arial"/>
                <w:sz w:val="16"/>
                <w:szCs w:val="16"/>
              </w:rPr>
            </w:pPr>
          </w:p>
          <w:p w14:paraId="17CE8302" w14:textId="77777777" w:rsidR="00A741B0" w:rsidRPr="00A741B0" w:rsidRDefault="00A741B0" w:rsidP="00376135">
            <w:pPr>
              <w:jc w:val="both"/>
              <w:rPr>
                <w:rFonts w:ascii="Arial" w:hAnsi="Arial" w:cs="Arial"/>
                <w:b/>
                <w:sz w:val="16"/>
                <w:szCs w:val="16"/>
              </w:rPr>
            </w:pPr>
            <w:r w:rsidRPr="00A741B0">
              <w:rPr>
                <w:rFonts w:ascii="Arial" w:hAnsi="Arial" w:cs="Arial"/>
                <w:b/>
                <w:sz w:val="16"/>
                <w:szCs w:val="16"/>
              </w:rPr>
              <w:t>Bewerbungsschluss: Freitag, 30. Oktober 2020</w:t>
            </w:r>
          </w:p>
          <w:p w14:paraId="43FC7CCB" w14:textId="77777777" w:rsidR="00A741B0" w:rsidRPr="006E121C" w:rsidRDefault="00A741B0" w:rsidP="00376135">
            <w:pPr>
              <w:jc w:val="both"/>
              <w:rPr>
                <w:rFonts w:ascii="Arial" w:hAnsi="Arial" w:cs="Arial"/>
                <w:sz w:val="16"/>
                <w:szCs w:val="16"/>
              </w:rPr>
            </w:pPr>
          </w:p>
          <w:p w14:paraId="484C4812" w14:textId="77777777" w:rsidR="00A741B0" w:rsidRPr="00810478" w:rsidRDefault="00A741B0" w:rsidP="00376135">
            <w:pPr>
              <w:jc w:val="both"/>
              <w:rPr>
                <w:rFonts w:ascii="Arial" w:hAnsi="Arial" w:cs="Arial"/>
                <w:b/>
                <w:i/>
                <w:sz w:val="14"/>
                <w:szCs w:val="14"/>
              </w:rPr>
            </w:pPr>
            <w:r w:rsidRPr="00810478">
              <w:rPr>
                <w:rFonts w:ascii="Arial" w:hAnsi="Arial" w:cs="Arial"/>
                <w:b/>
                <w:i/>
                <w:sz w:val="14"/>
                <w:szCs w:val="14"/>
              </w:rPr>
              <w:t>Hinweis zum Datenschutz:</w:t>
            </w:r>
          </w:p>
          <w:p w14:paraId="3175A997" w14:textId="77777777" w:rsidR="00AF0B90" w:rsidRPr="00A741B0" w:rsidRDefault="00A741B0" w:rsidP="00376135">
            <w:pPr>
              <w:jc w:val="both"/>
              <w:rPr>
                <w:rFonts w:ascii="Arial" w:hAnsi="Arial" w:cs="Arial"/>
                <w:sz w:val="16"/>
                <w:szCs w:val="16"/>
              </w:rPr>
            </w:pPr>
            <w:r w:rsidRPr="00810478">
              <w:rPr>
                <w:rFonts w:ascii="Arial" w:hAnsi="Arial" w:cs="Arial"/>
                <w:i/>
                <w:sz w:val="14"/>
                <w:szCs w:val="14"/>
              </w:rPr>
              <w:t xml:space="preserve">Die Informationen zur Datenerhebung gem. Art. 13 Datenschutzgrundverordnung </w:t>
            </w:r>
            <w:r w:rsidR="00810478">
              <w:rPr>
                <w:rFonts w:ascii="Arial" w:hAnsi="Arial" w:cs="Arial"/>
                <w:i/>
                <w:sz w:val="14"/>
                <w:szCs w:val="14"/>
              </w:rPr>
              <w:t>finden Sie auf unserer Homepage, Rubrik „Datenschutz“.</w:t>
            </w:r>
          </w:p>
        </w:tc>
        <w:tc>
          <w:tcPr>
            <w:tcW w:w="405" w:type="dxa"/>
            <w:tcBorders>
              <w:top w:val="single" w:sz="18" w:space="0" w:color="FFFFFF" w:themeColor="background1"/>
              <w:left w:val="single" w:sz="18" w:space="0" w:color="FFFFFF" w:themeColor="background1"/>
              <w:bottom w:val="single" w:sz="18" w:space="0" w:color="FFFFFF" w:themeColor="background1"/>
            </w:tcBorders>
            <w:shd w:val="clear" w:color="auto" w:fill="009CE1"/>
          </w:tcPr>
          <w:p w14:paraId="09F7D189" w14:textId="77777777" w:rsidR="00AF0B90" w:rsidRDefault="00AF0B90" w:rsidP="00376135">
            <w:pPr>
              <w:jc w:val="both"/>
            </w:pPr>
          </w:p>
        </w:tc>
      </w:tr>
      <w:tr w:rsidR="00810478" w14:paraId="7A647FBD" w14:textId="77777777" w:rsidTr="00C11A5F">
        <w:trPr>
          <w:trHeight w:hRule="exact" w:val="765"/>
        </w:trPr>
        <w:tc>
          <w:tcPr>
            <w:tcW w:w="2479" w:type="dxa"/>
            <w:tcBorders>
              <w:top w:val="single" w:sz="18" w:space="0" w:color="FFFFFF" w:themeColor="background1"/>
              <w:right w:val="single" w:sz="18" w:space="0" w:color="FFFFFF" w:themeColor="background1"/>
            </w:tcBorders>
            <w:shd w:val="clear" w:color="auto" w:fill="009CE1"/>
            <w:vAlign w:val="center"/>
          </w:tcPr>
          <w:p w14:paraId="1F6B6C4C" w14:textId="77777777" w:rsidR="00810478" w:rsidRPr="00E4442A" w:rsidRDefault="00810478" w:rsidP="00376135">
            <w:pPr>
              <w:jc w:val="both"/>
              <w:rPr>
                <w:rFonts w:ascii="Arial" w:hAnsi="Arial" w:cs="Arial"/>
              </w:rPr>
            </w:pPr>
            <w:r w:rsidRPr="00E4442A">
              <w:rPr>
                <w:rFonts w:ascii="Arial" w:hAnsi="Arial" w:cs="Arial"/>
                <w:color w:val="FFFFFF" w:themeColor="background1"/>
              </w:rPr>
              <w:lastRenderedPageBreak/>
              <w:t>www.mosbach.de</w:t>
            </w:r>
          </w:p>
        </w:tc>
        <w:tc>
          <w:tcPr>
            <w:tcW w:w="2199" w:type="dxa"/>
            <w:tcBorders>
              <w:top w:val="single" w:sz="18" w:space="0" w:color="FFFFFF" w:themeColor="background1"/>
              <w:left w:val="single" w:sz="18" w:space="0" w:color="FFFFFF" w:themeColor="background1"/>
            </w:tcBorders>
            <w:shd w:val="clear" w:color="auto" w:fill="009CE1"/>
          </w:tcPr>
          <w:p w14:paraId="772673C1" w14:textId="77777777" w:rsidR="00810478" w:rsidRDefault="00A80E90" w:rsidP="00376135">
            <w:pPr>
              <w:ind w:left="-674"/>
              <w:jc w:val="both"/>
            </w:pPr>
            <w:r w:rsidRPr="00A80E90">
              <w:rPr>
                <w:noProof/>
                <w:lang w:eastAsia="de-DE"/>
              </w:rPr>
              <w:drawing>
                <wp:anchor distT="0" distB="0" distL="114300" distR="114300" simplePos="0" relativeHeight="251665408" behindDoc="0" locked="0" layoutInCell="1" allowOverlap="1" wp14:anchorId="47902248" wp14:editId="7F7FFD3E">
                  <wp:simplePos x="0" y="0"/>
                  <wp:positionH relativeFrom="column">
                    <wp:posOffset>882015</wp:posOffset>
                  </wp:positionH>
                  <wp:positionV relativeFrom="paragraph">
                    <wp:posOffset>-27051</wp:posOffset>
                  </wp:positionV>
                  <wp:extent cx="507600" cy="507600"/>
                  <wp:effectExtent l="0" t="0" r="6985"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7600" cy="507600"/>
                          </a:xfrm>
                          <a:prstGeom prst="rect">
                            <a:avLst/>
                          </a:prstGeom>
                        </pic:spPr>
                      </pic:pic>
                    </a:graphicData>
                  </a:graphic>
                  <wp14:sizeRelH relativeFrom="page">
                    <wp14:pctWidth>0</wp14:pctWidth>
                  </wp14:sizeRelH>
                  <wp14:sizeRelV relativeFrom="page">
                    <wp14:pctHeight>0</wp14:pctHeight>
                  </wp14:sizeRelV>
                </wp:anchor>
              </w:drawing>
            </w:r>
          </w:p>
          <w:p w14:paraId="1933A349" w14:textId="77777777" w:rsidR="00810478" w:rsidRDefault="00810478" w:rsidP="00376135">
            <w:pPr>
              <w:ind w:left="-674"/>
              <w:jc w:val="both"/>
            </w:pPr>
            <w:r>
              <w:tab/>
            </w:r>
          </w:p>
        </w:tc>
        <w:tc>
          <w:tcPr>
            <w:tcW w:w="405" w:type="dxa"/>
            <w:tcBorders>
              <w:top w:val="single" w:sz="18" w:space="0" w:color="FFFFFF" w:themeColor="background1"/>
              <w:left w:val="single" w:sz="18" w:space="0" w:color="FFFFFF" w:themeColor="background1"/>
            </w:tcBorders>
            <w:shd w:val="clear" w:color="auto" w:fill="009CE1"/>
          </w:tcPr>
          <w:p w14:paraId="6D0BD7D9" w14:textId="77777777" w:rsidR="00810478" w:rsidRDefault="00810478" w:rsidP="00376135">
            <w:pPr>
              <w:ind w:left="-674"/>
              <w:jc w:val="both"/>
            </w:pPr>
          </w:p>
        </w:tc>
      </w:tr>
    </w:tbl>
    <w:p w14:paraId="7C8562AD" w14:textId="77777777" w:rsidR="003E0A2C" w:rsidRPr="004522E6" w:rsidRDefault="00BD716D" w:rsidP="00376135">
      <w:pPr>
        <w:jc w:val="both"/>
        <w:rPr>
          <w:sz w:val="2"/>
          <w:szCs w:val="2"/>
        </w:rPr>
      </w:pPr>
    </w:p>
    <w:sectPr w:rsidR="003E0A2C" w:rsidRPr="004522E6" w:rsidSect="00810478">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36C98"/>
    <w:multiLevelType w:val="hybridMultilevel"/>
    <w:tmpl w:val="9F96C63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6325EF"/>
    <w:multiLevelType w:val="hybridMultilevel"/>
    <w:tmpl w:val="094883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121634"/>
    <w:multiLevelType w:val="hybridMultilevel"/>
    <w:tmpl w:val="485C503A"/>
    <w:lvl w:ilvl="0" w:tplc="312A856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D9188B"/>
    <w:multiLevelType w:val="hybridMultilevel"/>
    <w:tmpl w:val="9270695A"/>
    <w:lvl w:ilvl="0" w:tplc="468CEDB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4F6FAB"/>
    <w:multiLevelType w:val="hybridMultilevel"/>
    <w:tmpl w:val="8026BCDC"/>
    <w:lvl w:ilvl="0" w:tplc="A7C260F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AB"/>
    <w:rsid w:val="000E0A6E"/>
    <w:rsid w:val="0015170A"/>
    <w:rsid w:val="001A6B58"/>
    <w:rsid w:val="001B13FF"/>
    <w:rsid w:val="002274AF"/>
    <w:rsid w:val="002A3600"/>
    <w:rsid w:val="00303973"/>
    <w:rsid w:val="00376135"/>
    <w:rsid w:val="003A1BEB"/>
    <w:rsid w:val="004522E6"/>
    <w:rsid w:val="00472FAB"/>
    <w:rsid w:val="004E42CD"/>
    <w:rsid w:val="00502E8C"/>
    <w:rsid w:val="005E5384"/>
    <w:rsid w:val="005F6BE8"/>
    <w:rsid w:val="006E121C"/>
    <w:rsid w:val="007D52CA"/>
    <w:rsid w:val="00810478"/>
    <w:rsid w:val="00941411"/>
    <w:rsid w:val="009637A4"/>
    <w:rsid w:val="009E440F"/>
    <w:rsid w:val="009F3523"/>
    <w:rsid w:val="00A05214"/>
    <w:rsid w:val="00A741B0"/>
    <w:rsid w:val="00A80E90"/>
    <w:rsid w:val="00A84EEF"/>
    <w:rsid w:val="00AF0B90"/>
    <w:rsid w:val="00AF56B2"/>
    <w:rsid w:val="00B36EAC"/>
    <w:rsid w:val="00BD5F83"/>
    <w:rsid w:val="00BD716D"/>
    <w:rsid w:val="00C11A5F"/>
    <w:rsid w:val="00C14EE9"/>
    <w:rsid w:val="00CD156D"/>
    <w:rsid w:val="00DB49BE"/>
    <w:rsid w:val="00DE2241"/>
    <w:rsid w:val="00E4442A"/>
    <w:rsid w:val="00FA66D5"/>
    <w:rsid w:val="00FF7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1A2F"/>
  <w15:chartTrackingRefBased/>
  <w15:docId w15:val="{F29FA0FB-D1DB-4486-B3C3-3D02AD51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E444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DE2241"/>
    <w:pPr>
      <w:ind w:left="720"/>
      <w:contextualSpacing/>
    </w:pPr>
  </w:style>
  <w:style w:type="character" w:styleId="Hyperlink">
    <w:name w:val="Hyperlink"/>
    <w:basedOn w:val="Absatz-Standardschriftart"/>
    <w:uiPriority w:val="99"/>
    <w:unhideWhenUsed/>
    <w:rsid w:val="004522E6"/>
    <w:rPr>
      <w:color w:val="0563C1" w:themeColor="hyperlink"/>
      <w:u w:val="single"/>
    </w:rPr>
  </w:style>
  <w:style w:type="paragraph" w:styleId="Sprechblasentext">
    <w:name w:val="Balloon Text"/>
    <w:basedOn w:val="Standard"/>
    <w:link w:val="SprechblasentextZchn"/>
    <w:uiPriority w:val="99"/>
    <w:semiHidden/>
    <w:unhideWhenUsed/>
    <w:rsid w:val="004522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2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 Steffen</dc:creator>
  <cp:keywords/>
  <dc:description/>
  <cp:lastModifiedBy>Michaela Knotz</cp:lastModifiedBy>
  <cp:revision>4</cp:revision>
  <cp:lastPrinted>2020-10-02T07:53:00Z</cp:lastPrinted>
  <dcterms:created xsi:type="dcterms:W3CDTF">2020-09-30T09:03:00Z</dcterms:created>
  <dcterms:modified xsi:type="dcterms:W3CDTF">2020-10-02T07:53:00Z</dcterms:modified>
</cp:coreProperties>
</file>